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55" w:rsidRDefault="00F54B55" w:rsidP="00F54B55">
      <w:pPr>
        <w:pStyle w:val="Default"/>
        <w:rPr>
          <w:b/>
        </w:rPr>
      </w:pPr>
    </w:p>
    <w:p w:rsidR="00F54B55" w:rsidRDefault="00F54B55" w:rsidP="00F54B55">
      <w:pPr>
        <w:pStyle w:val="Default"/>
        <w:jc w:val="center"/>
        <w:rPr>
          <w:b/>
          <w:bCs/>
          <w:lang w:val="kk-KZ"/>
        </w:rPr>
      </w:pPr>
      <w:r>
        <w:rPr>
          <w:b/>
          <w:bCs/>
          <w:shd w:val="clear" w:color="auto" w:fill="FFFFFF"/>
          <w:lang w:val="kk-KZ"/>
        </w:rPr>
        <w:t>«</w:t>
      </w:r>
      <w:r>
        <w:rPr>
          <w:b/>
          <w:bCs/>
          <w:shd w:val="clear" w:color="auto" w:fill="FFFFFF"/>
        </w:rPr>
        <w:t>PR</w:t>
      </w:r>
      <w:r>
        <w:rPr>
          <w:b/>
          <w:bCs/>
          <w:shd w:val="clear" w:color="auto" w:fill="FFFFFF"/>
          <w:lang w:val="kk-KZ"/>
        </w:rPr>
        <w:t xml:space="preserve"> технологиялары</w:t>
      </w:r>
      <w:r>
        <w:rPr>
          <w:b/>
          <w:bCs/>
        </w:rPr>
        <w:t>» пәнінің қорытынды</w:t>
      </w:r>
      <w:r>
        <w:rPr>
          <w:b/>
          <w:bCs/>
          <w:lang w:val="kk-KZ"/>
        </w:rPr>
        <w:t xml:space="preserve"> </w:t>
      </w:r>
      <w:r>
        <w:rPr>
          <w:b/>
          <w:bCs/>
        </w:rPr>
        <w:t>емтихан бағдарламасы</w:t>
      </w:r>
    </w:p>
    <w:p w:rsidR="00F54B55" w:rsidRDefault="00F54B55" w:rsidP="00F54B55">
      <w:pPr>
        <w:pStyle w:val="Default"/>
      </w:pPr>
    </w:p>
    <w:p w:rsidR="00F54B55" w:rsidRDefault="00F54B55" w:rsidP="00F54B55">
      <w:pPr>
        <w:pStyle w:val="Default"/>
        <w:ind w:firstLine="708"/>
        <w:jc w:val="both"/>
        <w:rPr>
          <w:lang w:val="kk-KZ"/>
        </w:rPr>
      </w:pPr>
      <w:r>
        <w:rPr>
          <w:bCs/>
          <w:shd w:val="clear" w:color="auto" w:fill="FFFFFF"/>
          <w:lang w:val="kk-KZ"/>
        </w:rPr>
        <w:t>«</w:t>
      </w:r>
      <w:r>
        <w:rPr>
          <w:bCs/>
          <w:shd w:val="clear" w:color="auto" w:fill="FFFFFF"/>
        </w:rPr>
        <w:t>PR</w:t>
      </w:r>
      <w:r>
        <w:rPr>
          <w:bCs/>
          <w:shd w:val="clear" w:color="auto" w:fill="FFFFFF"/>
          <w:lang w:val="kk-KZ"/>
        </w:rPr>
        <w:t xml:space="preserve"> технологиялары» </w:t>
      </w:r>
      <w:r>
        <w:rPr>
          <w:lang w:val="kk-KZ"/>
        </w:rPr>
        <w:t xml:space="preserve">пәні бойынша дәстүрлі жазбаша емтихан  ЭССЕ " MOODLE қож жүйесінде өткізіледі. </w:t>
      </w:r>
    </w:p>
    <w:p w:rsidR="00F54B55" w:rsidRDefault="00F54B55" w:rsidP="00F54B55">
      <w:pPr>
        <w:pStyle w:val="Default"/>
        <w:ind w:firstLine="708"/>
        <w:jc w:val="both"/>
        <w:rPr>
          <w:lang w:val="kk-KZ"/>
        </w:rPr>
      </w:pPr>
      <w:r>
        <w:rPr>
          <w:lang w:val="kk-KZ"/>
        </w:rPr>
        <w:t xml:space="preserve">Емтихан тапсыру техникасымен Сіз төмендегі нұсқаулықтан таныса аласыз </w:t>
      </w:r>
    </w:p>
    <w:p w:rsidR="00F54B55" w:rsidRDefault="00F54B55" w:rsidP="00F54B55">
      <w:pPr>
        <w:pStyle w:val="Default"/>
        <w:jc w:val="both"/>
        <w:rPr>
          <w:lang w:val="kk-KZ"/>
        </w:rPr>
      </w:pPr>
      <w:r>
        <w:rPr>
          <w:lang w:val="kk-KZ"/>
        </w:rPr>
        <w:t xml:space="preserve">ҚазҰУ сайтында жарияланған.әл-Фараби атындағы "қашықтықтан білім беру" бөлімінде </w:t>
      </w:r>
    </w:p>
    <w:p w:rsidR="00F54B55" w:rsidRDefault="00F54B55" w:rsidP="00F54B55">
      <w:pPr>
        <w:pStyle w:val="Default"/>
        <w:jc w:val="both"/>
        <w:rPr>
          <w:lang w:val="kk-KZ"/>
        </w:rPr>
      </w:pPr>
      <w:r>
        <w:rPr>
          <w:lang w:val="kk-KZ"/>
        </w:rPr>
        <w:t xml:space="preserve">https://www.kaznu.kz/ru/21639/page/ </w:t>
      </w:r>
    </w:p>
    <w:p w:rsidR="00F54B55" w:rsidRDefault="00F54B55" w:rsidP="00F54B55">
      <w:pPr>
        <w:pStyle w:val="Default"/>
        <w:ind w:firstLine="708"/>
        <w:jc w:val="both"/>
        <w:rPr>
          <w:lang w:val="kk-KZ"/>
        </w:rPr>
      </w:pPr>
      <w:r>
        <w:rPr>
          <w:b/>
          <w:bCs/>
          <w:lang w:val="kk-KZ"/>
        </w:rPr>
        <w:t xml:space="preserve">Эссе </w:t>
      </w:r>
      <w:r>
        <w:rPr>
          <w:lang w:val="kk-KZ"/>
        </w:rPr>
        <w:t xml:space="preserve">– студенттердің ақпаратпен жұмыс істеу, оны талдау, құрылымдау, қорытындылар мен ұсыныстар қалыптастыру қабілеттерін бақылау құралы. Сонымен қатар ол «ойлау» емтиханы («Thinking» exam) деп аталады. Емтиханның бұл түрі студенттерге үш сағат ішінде белгілі бір проблема бойынша бір үлкен мәтін жазуды қамтиды. </w:t>
      </w:r>
    </w:p>
    <w:p w:rsidR="00F54B55" w:rsidRDefault="00F54B55" w:rsidP="00F54B55">
      <w:pPr>
        <w:pStyle w:val="Default"/>
        <w:ind w:firstLine="708"/>
        <w:jc w:val="both"/>
        <w:rPr>
          <w:lang w:val="kk-KZ"/>
        </w:rPr>
      </w:pPr>
      <w:r>
        <w:rPr>
          <w:lang w:val="kk-KZ"/>
        </w:rPr>
        <w:t xml:space="preserve">Бір сағат бойы студенттер ойлап, нобайын жазып, эссе құрылымын дайындайды. Содан кейін олар екі сағат жазады. Бұл емтихан форматы «ми» мен аналитикалық қабілеттерді пайдаланып, курстың көптеген элементтерін жинауды талап етеді. Айта кету керек, батыс университеттері үшін емтиханға эссе жазу дәстүрлі емтихан Essays in exams немесе Critical Thinking exam түріне жатады. </w:t>
      </w:r>
    </w:p>
    <w:p w:rsidR="00F54B55" w:rsidRDefault="00F54B55" w:rsidP="00F54B55">
      <w:pPr>
        <w:pStyle w:val="Default"/>
        <w:ind w:firstLine="708"/>
        <w:jc w:val="both"/>
        <w:rPr>
          <w:lang w:val="kk-KZ"/>
        </w:rPr>
      </w:pPr>
      <w:r>
        <w:rPr>
          <w:lang w:val="kk-KZ"/>
        </w:rPr>
        <w:t xml:space="preserve">Эссе орындауға орта есеппен 2-3 сағат бөлінуі мүмкін. Яғни, бөлінген уақытта студенттер жұмысты орындап, орындалған жұмысты жүйеге жүктеуі керек. Уақыт өткеннен кейін студент файлдарды жібере алмайды. Эссе үшін 1 файл жүктеу ұсынылады. </w:t>
      </w:r>
    </w:p>
    <w:p w:rsidR="00F54B55" w:rsidRDefault="00F54B55" w:rsidP="00F54B55">
      <w:pPr>
        <w:pStyle w:val="Default"/>
        <w:jc w:val="both"/>
        <w:rPr>
          <w:lang w:val="kk-KZ"/>
        </w:rPr>
      </w:pPr>
      <w:r>
        <w:rPr>
          <w:b/>
          <w:bCs/>
          <w:lang w:val="kk-KZ"/>
        </w:rPr>
        <w:t xml:space="preserve">МАҢЫЗДЫ. </w:t>
      </w:r>
      <w:r>
        <w:rPr>
          <w:lang w:val="kk-KZ"/>
        </w:rPr>
        <w:t xml:space="preserve">Міндетті түрде тапсырмаға ҚОЛЖЕТІМДІЛІК БОЙЫНША ШЕКТЕУ қойылады. Ортақ чатта студенттерге эссе тақырыптары қай жүйеде жүктелгені туралы хабарланады. Өткізілген емтихан нәтижесінде, оқытушы жүйеде студенттен Word құжаты түріндегі орындалған эссе алады. </w:t>
      </w:r>
    </w:p>
    <w:p w:rsidR="00F54B55" w:rsidRDefault="00F54B55" w:rsidP="00F54B55">
      <w:pPr>
        <w:pStyle w:val="Default"/>
        <w:ind w:firstLine="708"/>
        <w:jc w:val="both"/>
        <w:rPr>
          <w:lang w:val="kk-KZ"/>
        </w:rPr>
      </w:pPr>
      <w:r>
        <w:rPr>
          <w:b/>
          <w:bCs/>
          <w:lang w:val="kk-KZ"/>
        </w:rPr>
        <w:t xml:space="preserve">МАҢЫЗДЫ. </w:t>
      </w:r>
      <w:r>
        <w:rPr>
          <w:lang w:val="kk-KZ"/>
        </w:rPr>
        <w:t xml:space="preserve">Емтихан жұмысын түпнұсқалыққа тексеру. Антиплагиат.ру сервисі ең кең таралған мәтіндік файл форматтарын қолдайды: PDF (мәтіндік қабаты бар), TXT, HTML, HTM, DOCX, RTF, ODT, PPT, PPTX. Жүктелген файлдың өлшемі 100 МБ-тан аспауы керек. Студенттер файлдарды осы форматтарда сақтауға мүмкіндік беретін кез-келген бағдарламаны қолдана алады. Мысалы, Notepad, PowerPoint, OpenOffice. Тексеру нәтижесінде, оқытушы емтихан қатысушыларын аттестаттайды. </w:t>
      </w:r>
    </w:p>
    <w:p w:rsidR="00F54B55" w:rsidRDefault="00F54B55" w:rsidP="00F54B55">
      <w:pPr>
        <w:pStyle w:val="Default"/>
        <w:jc w:val="both"/>
        <w:rPr>
          <w:b/>
          <w:bCs/>
          <w:lang w:val="kk-KZ"/>
        </w:rPr>
      </w:pPr>
    </w:p>
    <w:p w:rsidR="00F54B55" w:rsidRDefault="00F54B55" w:rsidP="00F54B55">
      <w:pPr>
        <w:pStyle w:val="Default"/>
        <w:ind w:firstLine="708"/>
        <w:jc w:val="both"/>
        <w:rPr>
          <w:b/>
          <w:bCs/>
          <w:lang w:val="kk-KZ"/>
        </w:rPr>
      </w:pPr>
      <w:r>
        <w:rPr>
          <w:b/>
          <w:bCs/>
          <w:lang w:val="kk-KZ"/>
        </w:rPr>
        <w:t xml:space="preserve">Емтиханда ЭССЕ жазуға келетін ұқсас тақырыптар: </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lang w:val="kk-KZ"/>
        </w:rPr>
        <w:t>Заманауи PR және PR-менеджердің құзыреттілігі</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rPr>
      </w:pPr>
      <w:r>
        <w:rPr>
          <w:rFonts w:ascii="Times New Roman" w:hAnsi="Times New Roman"/>
          <w:sz w:val="24"/>
          <w:szCs w:val="24"/>
        </w:rPr>
        <w:t>Интеграцияланған коммуникациялар</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rPr>
      </w:pPr>
      <w:r>
        <w:rPr>
          <w:rFonts w:ascii="Times New Roman" w:hAnsi="Times New Roman"/>
          <w:sz w:val="24"/>
          <w:szCs w:val="24"/>
          <w:lang w:val="kk-KZ"/>
        </w:rPr>
        <w:t xml:space="preserve"> PR стратегиясының түрін анықтау</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rPr>
      </w:pPr>
      <w:r>
        <w:rPr>
          <w:rFonts w:ascii="Times New Roman" w:hAnsi="Times New Roman"/>
          <w:sz w:val="24"/>
          <w:szCs w:val="24"/>
          <w:lang w:val="kk-KZ"/>
        </w:rPr>
        <w:t>Интеграцияланған коммуникацияларды құру кезеңдерін және олардың арасындағы қатынасты анықтаңыз</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lang w:val="kk-KZ"/>
        </w:rPr>
        <w:t>Жарнамалық / коммуникациялық компанияның тиімділігін бақылау және бағалау, қандай өлшемдерді қолдану керек, стратегияда бюджетті қалай қалыптастыру және бөлу керек</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lang w:val="kk-KZ"/>
        </w:rPr>
        <w:t>Brand Identity және оның құрамдас бөліктері: шақырылған спикердің дәрісі</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rPr>
        <w:t>Әлеуметтік желілердегі бренд байланысын талдау</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rPr>
        <w:t>Ұйым коммуникацияларын, пиар-ресурстарды SWOT талдау</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lang w:val="kk-KZ"/>
        </w:rPr>
        <w:t>Салаға байланысты коммуникациялық диджитал арналарды талдау және стейкхолдерлерді анықтау</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lang w:val="kk-KZ"/>
        </w:rPr>
        <w:t>Енгізу үшін дағдарыстық ден қою қағидалары стратегию</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rPr>
        <w:t>БАҚ-пен өзара әрекеттесу</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lang w:val="kk-KZ"/>
        </w:rPr>
        <w:t>П</w:t>
      </w:r>
      <w:r>
        <w:rPr>
          <w:rFonts w:ascii="Times New Roman" w:hAnsi="Times New Roman"/>
          <w:sz w:val="24"/>
          <w:szCs w:val="24"/>
        </w:rPr>
        <w:t>ост шаблондарын, вижуалдарды</w:t>
      </w:r>
      <w:r>
        <w:rPr>
          <w:rFonts w:ascii="Times New Roman" w:hAnsi="Times New Roman"/>
          <w:sz w:val="24"/>
          <w:szCs w:val="24"/>
          <w:lang w:val="kk-KZ"/>
        </w:rPr>
        <w:t xml:space="preserve"> </w:t>
      </w:r>
      <w:r>
        <w:rPr>
          <w:rFonts w:ascii="Times New Roman" w:hAnsi="Times New Roman"/>
          <w:sz w:val="24"/>
          <w:szCs w:val="24"/>
        </w:rPr>
        <w:t>талдауын жасау</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rPr>
        <w:t>Клиенттердің мінез-құлқын болжау және стратегияда олармен байланыс</w:t>
      </w:r>
    </w:p>
    <w:p w:rsidR="00F54B55" w:rsidRDefault="00F54B55" w:rsidP="00F54B55">
      <w:pPr>
        <w:pStyle w:val="a4"/>
        <w:numPr>
          <w:ilvl w:val="1"/>
          <w:numId w:val="1"/>
        </w:numPr>
        <w:spacing w:before="100" w:beforeAutospacing="1" w:after="100" w:afterAutospacing="1" w:line="240" w:lineRule="auto"/>
        <w:ind w:hanging="357"/>
        <w:rPr>
          <w:rFonts w:ascii="Times New Roman" w:hAnsi="Times New Roman"/>
          <w:sz w:val="24"/>
          <w:szCs w:val="24"/>
          <w:lang w:val="kk-KZ"/>
        </w:rPr>
      </w:pPr>
      <w:r>
        <w:rPr>
          <w:rFonts w:ascii="Times New Roman" w:hAnsi="Times New Roman"/>
          <w:sz w:val="24"/>
          <w:szCs w:val="24"/>
        </w:rPr>
        <w:t>Коммуникациядағы дауыс үні</w:t>
      </w:r>
    </w:p>
    <w:p w:rsidR="00F54B55" w:rsidRDefault="00F54B55" w:rsidP="00F54B55">
      <w:pPr>
        <w:pStyle w:val="Default"/>
        <w:jc w:val="both"/>
        <w:rPr>
          <w:lang w:val="kk-KZ"/>
        </w:rPr>
      </w:pPr>
    </w:p>
    <w:p w:rsidR="00F54B55" w:rsidRDefault="00F54B55" w:rsidP="00F54B55">
      <w:pPr>
        <w:pStyle w:val="Default"/>
        <w:jc w:val="both"/>
        <w:rPr>
          <w:b/>
          <w:bCs/>
          <w:lang w:val="kk-KZ"/>
        </w:rPr>
      </w:pPr>
      <w:r>
        <w:rPr>
          <w:b/>
          <w:bCs/>
          <w:lang w:val="kk-KZ"/>
        </w:rPr>
        <w:t xml:space="preserve">Бағалау шкаласы: </w:t>
      </w:r>
    </w:p>
    <w:p w:rsidR="00F54B55" w:rsidRDefault="00F54B55" w:rsidP="00F54B55">
      <w:pPr>
        <w:pStyle w:val="Default"/>
        <w:jc w:val="both"/>
        <w:rPr>
          <w:lang w:val="kk-KZ"/>
        </w:rPr>
      </w:pPr>
    </w:p>
    <w:tbl>
      <w:tblPr>
        <w:tblStyle w:val="a5"/>
        <w:tblW w:w="0" w:type="auto"/>
        <w:tblInd w:w="0" w:type="dxa"/>
        <w:tblLook w:val="04A0"/>
      </w:tblPr>
      <w:tblGrid>
        <w:gridCol w:w="2354"/>
        <w:gridCol w:w="4382"/>
        <w:gridCol w:w="2835"/>
      </w:tblGrid>
      <w:tr w:rsidR="00F54B55" w:rsidTr="00F54B55">
        <w:tc>
          <w:tcPr>
            <w:tcW w:w="2354"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lang w:val="kk-KZ"/>
              </w:rPr>
            </w:pPr>
            <w:r>
              <w:rPr>
                <w:b/>
                <w:lang w:val="kk-KZ"/>
              </w:rPr>
              <w:t>Баға</w:t>
            </w:r>
          </w:p>
        </w:tc>
        <w:tc>
          <w:tcPr>
            <w:tcW w:w="4382"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lang w:val="kk-KZ"/>
              </w:rPr>
            </w:pPr>
            <w:r>
              <w:rPr>
                <w:b/>
                <w:lang w:val="kk-KZ"/>
              </w:rPr>
              <w:t xml:space="preserve">                     Критерилер</w:t>
            </w:r>
          </w:p>
        </w:tc>
        <w:tc>
          <w:tcPr>
            <w:tcW w:w="2835" w:type="dxa"/>
            <w:tcBorders>
              <w:top w:val="single" w:sz="4" w:space="0" w:color="auto"/>
              <w:left w:val="single" w:sz="4" w:space="0" w:color="auto"/>
              <w:bottom w:val="single" w:sz="4" w:space="0" w:color="auto"/>
              <w:right w:val="single" w:sz="4" w:space="0" w:color="auto"/>
            </w:tcBorders>
          </w:tcPr>
          <w:p w:rsidR="00F54B55" w:rsidRDefault="00F54B55">
            <w:pPr>
              <w:pStyle w:val="Default"/>
              <w:jc w:val="both"/>
              <w:rPr>
                <w:b/>
                <w:lang w:val="kk-KZ"/>
              </w:rPr>
            </w:pPr>
            <w:r>
              <w:rPr>
                <w:b/>
                <w:lang w:val="kk-KZ"/>
              </w:rPr>
              <w:t xml:space="preserve">Балдардың шкаласы </w:t>
            </w:r>
          </w:p>
          <w:p w:rsidR="00F54B55" w:rsidRDefault="00F54B55">
            <w:pPr>
              <w:pStyle w:val="Default"/>
              <w:jc w:val="both"/>
              <w:rPr>
                <w:b/>
                <w:lang w:val="kk-KZ"/>
              </w:rPr>
            </w:pPr>
          </w:p>
        </w:tc>
      </w:tr>
      <w:tr w:rsidR="00F54B55" w:rsidTr="00F54B55">
        <w:tc>
          <w:tcPr>
            <w:tcW w:w="2354"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lang w:val="kk-KZ"/>
              </w:rPr>
            </w:pPr>
            <w:r>
              <w:rPr>
                <w:b/>
                <w:lang w:val="kk-KZ"/>
              </w:rPr>
              <w:t>Өте жақсы</w:t>
            </w:r>
          </w:p>
        </w:tc>
        <w:tc>
          <w:tcPr>
            <w:tcW w:w="4382" w:type="dxa"/>
            <w:tcBorders>
              <w:top w:val="single" w:sz="4" w:space="0" w:color="auto"/>
              <w:left w:val="single" w:sz="4" w:space="0" w:color="auto"/>
              <w:bottom w:val="single" w:sz="4" w:space="0" w:color="auto"/>
              <w:right w:val="single" w:sz="4" w:space="0" w:color="auto"/>
            </w:tcBorders>
          </w:tcPr>
          <w:p w:rsidR="00F54B55" w:rsidRDefault="00F54B55">
            <w:pPr>
              <w:pStyle w:val="Default"/>
              <w:rPr>
                <w:lang w:val="kk-KZ"/>
              </w:rPr>
            </w:pPr>
            <w:r>
              <w:rPr>
                <w:lang w:val="kk-KZ"/>
              </w:rPr>
              <w:t>1. Тапсырма дұрыс орындалды және толық жауап беріледі;</w:t>
            </w:r>
          </w:p>
          <w:p w:rsidR="00F54B55" w:rsidRDefault="00F54B55">
            <w:pPr>
              <w:pStyle w:val="Default"/>
            </w:pPr>
            <w:r>
              <w:t>2. Материал логикалық ретпен дұрыс жазылған;</w:t>
            </w:r>
          </w:p>
          <w:p w:rsidR="00F54B55" w:rsidRDefault="00F54B55">
            <w:pPr>
              <w:pStyle w:val="Default"/>
            </w:pPr>
            <w:r>
              <w:t>3. Шығармашылық толық көрсетілген</w:t>
            </w:r>
          </w:p>
          <w:p w:rsidR="00F54B55" w:rsidRDefault="00F54B55">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rPr>
            </w:pPr>
            <w:r>
              <w:rPr>
                <w:b/>
              </w:rPr>
              <w:t xml:space="preserve">90 - 100 </w:t>
            </w:r>
          </w:p>
        </w:tc>
      </w:tr>
      <w:tr w:rsidR="00F54B55" w:rsidTr="00F54B55">
        <w:tc>
          <w:tcPr>
            <w:tcW w:w="2354"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lang w:val="kk-KZ"/>
              </w:rPr>
            </w:pPr>
            <w:r>
              <w:rPr>
                <w:b/>
              </w:rPr>
              <w:t>Жақсы</w:t>
            </w:r>
          </w:p>
        </w:tc>
        <w:tc>
          <w:tcPr>
            <w:tcW w:w="4382" w:type="dxa"/>
            <w:tcBorders>
              <w:top w:val="single" w:sz="4" w:space="0" w:color="auto"/>
              <w:left w:val="single" w:sz="4" w:space="0" w:color="auto"/>
              <w:bottom w:val="single" w:sz="4" w:space="0" w:color="auto"/>
              <w:right w:val="single" w:sz="4" w:space="0" w:color="auto"/>
            </w:tcBorders>
          </w:tcPr>
          <w:p w:rsidR="00F54B55" w:rsidRDefault="00F54B55">
            <w:pPr>
              <w:pStyle w:val="Default"/>
              <w:rPr>
                <w:lang w:val="kk-KZ"/>
              </w:rPr>
            </w:pPr>
            <w:r>
              <w:rPr>
                <w:lang w:val="kk-KZ"/>
              </w:rPr>
              <w:t>1. Тапсырма орындалды, бірақ толық емес жауаптар беріледі, кішігірім қателіктер мен дәлсіздіктерге жол беріледі;</w:t>
            </w:r>
          </w:p>
          <w:p w:rsidR="00F54B55" w:rsidRDefault="00F54B55">
            <w:pPr>
              <w:pStyle w:val="Default"/>
              <w:rPr>
                <w:lang w:val="kk-KZ"/>
              </w:rPr>
            </w:pPr>
            <w:r>
              <w:rPr>
                <w:lang w:val="kk-KZ"/>
              </w:rPr>
              <w:t>2. Материал логикалық бірізділікпен, аз қателіктермен дұрыс қойылған;</w:t>
            </w:r>
          </w:p>
          <w:p w:rsidR="00F54B55" w:rsidRDefault="00F54B55">
            <w:pPr>
              <w:pStyle w:val="Default"/>
              <w:rPr>
                <w:lang w:val="kk-KZ"/>
              </w:rPr>
            </w:pPr>
            <w:r>
              <w:rPr>
                <w:lang w:val="kk-KZ"/>
              </w:rPr>
              <w:t>3. Шығармашылық көрсетілген, бірақ толық емес.</w:t>
            </w:r>
          </w:p>
          <w:p w:rsidR="00F54B55" w:rsidRDefault="00F54B55">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rPr>
            </w:pPr>
            <w:r>
              <w:rPr>
                <w:b/>
              </w:rPr>
              <w:t xml:space="preserve">75 - 89 </w:t>
            </w:r>
          </w:p>
        </w:tc>
      </w:tr>
      <w:tr w:rsidR="00F54B55" w:rsidTr="00F54B55">
        <w:tc>
          <w:tcPr>
            <w:tcW w:w="2354"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tabs>
                <w:tab w:val="left" w:pos="879"/>
              </w:tabs>
              <w:jc w:val="both"/>
              <w:rPr>
                <w:b/>
                <w:lang w:val="kk-KZ"/>
              </w:rPr>
            </w:pPr>
            <w:r>
              <w:rPr>
                <w:b/>
              </w:rPr>
              <w:t>Қанағаттанарлық</w:t>
            </w:r>
          </w:p>
        </w:tc>
        <w:tc>
          <w:tcPr>
            <w:tcW w:w="4382" w:type="dxa"/>
            <w:tcBorders>
              <w:top w:val="single" w:sz="4" w:space="0" w:color="auto"/>
              <w:left w:val="single" w:sz="4" w:space="0" w:color="auto"/>
              <w:bottom w:val="single" w:sz="4" w:space="0" w:color="auto"/>
              <w:right w:val="single" w:sz="4" w:space="0" w:color="auto"/>
            </w:tcBorders>
          </w:tcPr>
          <w:p w:rsidR="00F54B55" w:rsidRDefault="00F54B55">
            <w:pPr>
              <w:pStyle w:val="Default"/>
              <w:rPr>
                <w:lang w:val="kk-KZ"/>
              </w:rPr>
            </w:pPr>
            <w:r>
              <w:rPr>
                <w:lang w:val="kk-KZ"/>
              </w:rPr>
              <w:t>1. Жалпы алғанда, тапсырма орындалды, бірақ тақырып толық ашылмаған;</w:t>
            </w:r>
          </w:p>
          <w:p w:rsidR="00F54B55" w:rsidRDefault="00F54B55">
            <w:pPr>
              <w:pStyle w:val="Default"/>
              <w:rPr>
                <w:lang w:val="kk-KZ"/>
              </w:rPr>
            </w:pPr>
            <w:r>
              <w:rPr>
                <w:lang w:val="kk-KZ"/>
              </w:rPr>
              <w:t>2. Материал дұрыс ұсынылған, бірақ логикалық дәйектілік айтарлықтай бұзылған;</w:t>
            </w:r>
          </w:p>
          <w:p w:rsidR="00F54B55" w:rsidRDefault="00F54B55">
            <w:pPr>
              <w:pStyle w:val="Default"/>
            </w:pPr>
            <w:r>
              <w:t>3. Шығармашылығын көрсете алмады.</w:t>
            </w:r>
          </w:p>
          <w:p w:rsidR="00F54B55" w:rsidRDefault="00F54B55">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lang w:val="kk-KZ"/>
              </w:rPr>
            </w:pPr>
            <w:r>
              <w:rPr>
                <w:b/>
              </w:rPr>
              <w:t>50 - 74</w:t>
            </w:r>
          </w:p>
        </w:tc>
      </w:tr>
      <w:tr w:rsidR="00F54B55" w:rsidTr="00F54B55">
        <w:tc>
          <w:tcPr>
            <w:tcW w:w="2354"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lang w:val="kk-KZ"/>
              </w:rPr>
            </w:pPr>
            <w:r>
              <w:t>Қанағаттанарлықсыз</w:t>
            </w:r>
          </w:p>
        </w:tc>
        <w:tc>
          <w:tcPr>
            <w:tcW w:w="4382"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rPr>
                <w:lang w:val="kk-KZ"/>
              </w:rPr>
            </w:pPr>
            <w:r>
              <w:rPr>
                <w:lang w:val="kk-KZ"/>
              </w:rPr>
              <w:t>1. Тапсырма аяқталған жоқ, сұрақтарға жауаптарда өрескел қателер бар;</w:t>
            </w:r>
          </w:p>
          <w:p w:rsidR="00F54B55" w:rsidRDefault="00F54B55">
            <w:pPr>
              <w:pStyle w:val="Default"/>
              <w:jc w:val="both"/>
              <w:rPr>
                <w:lang w:val="kk-KZ"/>
              </w:rPr>
            </w:pPr>
            <w:r>
              <w:rPr>
                <w:lang w:val="kk-KZ"/>
              </w:rPr>
              <w:t>2. Жауап мәлімдемесі грамматикалық, терминологиялық қателіктер жіберді, логикалық бірізділікті бұзды.</w:t>
            </w:r>
          </w:p>
        </w:tc>
        <w:tc>
          <w:tcPr>
            <w:tcW w:w="2835" w:type="dxa"/>
            <w:tcBorders>
              <w:top w:val="single" w:sz="4" w:space="0" w:color="auto"/>
              <w:left w:val="single" w:sz="4" w:space="0" w:color="auto"/>
              <w:bottom w:val="single" w:sz="4" w:space="0" w:color="auto"/>
              <w:right w:val="single" w:sz="4" w:space="0" w:color="auto"/>
            </w:tcBorders>
            <w:hideMark/>
          </w:tcPr>
          <w:p w:rsidR="00F54B55" w:rsidRDefault="00F54B55">
            <w:pPr>
              <w:pStyle w:val="Default"/>
              <w:jc w:val="both"/>
              <w:rPr>
                <w:b/>
                <w:lang w:val="kk-KZ"/>
              </w:rPr>
            </w:pPr>
            <w:r>
              <w:rPr>
                <w:b/>
              </w:rPr>
              <w:t>0 - 49</w:t>
            </w:r>
          </w:p>
        </w:tc>
      </w:tr>
    </w:tbl>
    <w:p w:rsidR="00F54B55" w:rsidRDefault="00F54B55" w:rsidP="00F54B55">
      <w:pPr>
        <w:pStyle w:val="Default"/>
        <w:jc w:val="both"/>
        <w:rPr>
          <w:lang w:val="kk-KZ"/>
        </w:rPr>
      </w:pPr>
    </w:p>
    <w:p w:rsidR="00F54B55" w:rsidRDefault="00F54B55" w:rsidP="00F54B55">
      <w:pPr>
        <w:jc w:val="center"/>
        <w:rPr>
          <w:b/>
          <w:lang w:val="kk-KZ"/>
        </w:rPr>
      </w:pPr>
      <w:r>
        <w:rPr>
          <w:lang w:val="kk-KZ"/>
        </w:rPr>
        <w:tab/>
      </w:r>
      <w:r>
        <w:rPr>
          <w:b/>
          <w:lang w:val="kk-KZ"/>
        </w:rPr>
        <w:t>Оқуға ұсынылатын әдебиеттер</w:t>
      </w:r>
    </w:p>
    <w:p w:rsidR="00F54B55" w:rsidRDefault="00F54B55" w:rsidP="00F54B55">
      <w:pPr>
        <w:rPr>
          <w:lang w:val="kk-KZ"/>
        </w:rPr>
      </w:pPr>
    </w:p>
    <w:p w:rsidR="00F54B55" w:rsidRDefault="00F54B55" w:rsidP="00F54B55">
      <w:pPr>
        <w:pStyle w:val="a4"/>
        <w:numPr>
          <w:ilvl w:val="0"/>
          <w:numId w:val="1"/>
        </w:numPr>
        <w:rPr>
          <w:rFonts w:ascii="Times New Roman" w:hAnsi="Times New Roman"/>
          <w:sz w:val="24"/>
          <w:szCs w:val="24"/>
        </w:rPr>
      </w:pPr>
      <w:r>
        <w:rPr>
          <w:rFonts w:ascii="Times New Roman" w:hAnsi="Times New Roman"/>
          <w:sz w:val="24"/>
          <w:szCs w:val="24"/>
        </w:rPr>
        <w:t>Ворошилов В. Журналистика экономикасы. - СПб.: Михайлов баспасы, 2000. – 64 б.</w:t>
      </w:r>
    </w:p>
    <w:p w:rsidR="00F54B55" w:rsidRDefault="00F54B55" w:rsidP="00F54B55">
      <w:pPr>
        <w:pStyle w:val="a4"/>
        <w:numPr>
          <w:ilvl w:val="0"/>
          <w:numId w:val="1"/>
        </w:numPr>
        <w:rPr>
          <w:rFonts w:ascii="Times New Roman" w:hAnsi="Times New Roman"/>
          <w:sz w:val="24"/>
          <w:szCs w:val="24"/>
        </w:rPr>
      </w:pPr>
      <w:r>
        <w:rPr>
          <w:rFonts w:ascii="Times New Roman" w:hAnsi="Times New Roman"/>
          <w:sz w:val="24"/>
          <w:szCs w:val="24"/>
        </w:rPr>
        <w:t>Павликова М. желілік технологиялар және журналистика: фин БАҚ эволюциясы. – М.: РИП-холдинг. – 2001. – 99 б.</w:t>
      </w:r>
    </w:p>
    <w:p w:rsidR="00F54B55" w:rsidRDefault="00F54B55" w:rsidP="00F54B55">
      <w:pPr>
        <w:pStyle w:val="a4"/>
        <w:numPr>
          <w:ilvl w:val="0"/>
          <w:numId w:val="1"/>
        </w:numPr>
        <w:rPr>
          <w:rFonts w:ascii="Times New Roman" w:hAnsi="Times New Roman"/>
          <w:sz w:val="24"/>
          <w:szCs w:val="24"/>
        </w:rPr>
      </w:pPr>
      <w:r>
        <w:rPr>
          <w:rFonts w:ascii="Times New Roman" w:hAnsi="Times New Roman"/>
          <w:sz w:val="24"/>
          <w:szCs w:val="24"/>
        </w:rPr>
        <w:t>Ахметова Л. Журналистика және менеджмент. – Алматы: ҚазҰУ. – 2000. – 131 б.</w:t>
      </w:r>
    </w:p>
    <w:p w:rsidR="00F54B55" w:rsidRDefault="00F54B55" w:rsidP="00F54B55">
      <w:pPr>
        <w:pStyle w:val="a4"/>
        <w:numPr>
          <w:ilvl w:val="0"/>
          <w:numId w:val="1"/>
        </w:numPr>
        <w:rPr>
          <w:rFonts w:ascii="Times New Roman" w:hAnsi="Times New Roman"/>
          <w:sz w:val="24"/>
          <w:szCs w:val="24"/>
        </w:rPr>
      </w:pPr>
      <w:r>
        <w:rPr>
          <w:rFonts w:ascii="Times New Roman" w:hAnsi="Times New Roman"/>
          <w:sz w:val="24"/>
          <w:szCs w:val="24"/>
        </w:rPr>
        <w:t>Ворошилов В. Журналистика. – С-ТБ.: Михайловтан в. – 1999. – 304 б.</w:t>
      </w:r>
    </w:p>
    <w:p w:rsidR="00F54B55" w:rsidRDefault="00F54B55" w:rsidP="00F54B55">
      <w:pPr>
        <w:pStyle w:val="a4"/>
        <w:numPr>
          <w:ilvl w:val="0"/>
          <w:numId w:val="1"/>
        </w:numPr>
        <w:rPr>
          <w:rFonts w:ascii="Times New Roman" w:hAnsi="Times New Roman"/>
          <w:sz w:val="24"/>
          <w:szCs w:val="24"/>
        </w:rPr>
      </w:pPr>
      <w:r>
        <w:rPr>
          <w:rFonts w:ascii="Times New Roman" w:hAnsi="Times New Roman"/>
          <w:sz w:val="24"/>
          <w:szCs w:val="24"/>
        </w:rPr>
        <w:t>Маевская, Е.. Маркетингтік коммуникация жүйесіндегі жарнама.- Минск, 2003</w:t>
      </w:r>
    </w:p>
    <w:p w:rsidR="00F54B55" w:rsidRDefault="00F54B55" w:rsidP="00F54B55">
      <w:pPr>
        <w:pStyle w:val="a4"/>
        <w:numPr>
          <w:ilvl w:val="0"/>
          <w:numId w:val="1"/>
        </w:numPr>
        <w:spacing w:before="100" w:beforeAutospacing="1" w:after="100" w:afterAutospacing="1" w:line="240" w:lineRule="auto"/>
        <w:ind w:hanging="357"/>
        <w:rPr>
          <w:rFonts w:ascii="Times New Roman" w:hAnsi="Times New Roman"/>
          <w:sz w:val="24"/>
          <w:szCs w:val="24"/>
        </w:rPr>
      </w:pPr>
      <w:r>
        <w:rPr>
          <w:rFonts w:ascii="Times New Roman" w:hAnsi="Times New Roman"/>
          <w:sz w:val="24"/>
          <w:szCs w:val="24"/>
        </w:rPr>
        <w:t>Негизбаева, М.. БАҚ-та маркетингтік коммуникацияларды ұйымдастыру.- Алматы, 2011</w:t>
      </w:r>
    </w:p>
    <w:p w:rsidR="00F54B55" w:rsidRDefault="00F54B55" w:rsidP="00F54B55">
      <w:pPr>
        <w:pStyle w:val="a4"/>
        <w:numPr>
          <w:ilvl w:val="0"/>
          <w:numId w:val="1"/>
        </w:numPr>
        <w:spacing w:before="100" w:beforeAutospacing="1" w:after="100" w:afterAutospacing="1" w:line="240" w:lineRule="auto"/>
        <w:ind w:hanging="357"/>
        <w:rPr>
          <w:rFonts w:ascii="Times New Roman" w:hAnsi="Times New Roman"/>
          <w:sz w:val="24"/>
          <w:szCs w:val="24"/>
        </w:rPr>
      </w:pPr>
      <w:r>
        <w:rPr>
          <w:rFonts w:ascii="Times New Roman" w:hAnsi="Times New Roman"/>
          <w:sz w:val="24"/>
          <w:szCs w:val="24"/>
        </w:rPr>
        <w:t xml:space="preserve">Павликова М. </w:t>
      </w:r>
      <w:r>
        <w:rPr>
          <w:rFonts w:ascii="Times New Roman" w:hAnsi="Times New Roman"/>
          <w:sz w:val="24"/>
          <w:szCs w:val="24"/>
          <w:lang w:val="kk-KZ"/>
        </w:rPr>
        <w:t>Ж</w:t>
      </w:r>
      <w:r>
        <w:rPr>
          <w:rFonts w:ascii="Times New Roman" w:hAnsi="Times New Roman"/>
          <w:sz w:val="24"/>
          <w:szCs w:val="24"/>
        </w:rPr>
        <w:t>елілік технологиялар және журналистика: фин БАҚ эволюциясы. – М.: РИП-холдинг. – 2001. – 99 б.Баяндамалар жинағы ғылыми-практикалық. заманауи менеджмент және БАҚ маркетингі...".- Астана, 2005</w:t>
      </w:r>
    </w:p>
    <w:p w:rsidR="00CF10B8" w:rsidRDefault="00F54B55" w:rsidP="00F54B55">
      <w:pPr>
        <w:pStyle w:val="a4"/>
        <w:numPr>
          <w:ilvl w:val="0"/>
          <w:numId w:val="1"/>
        </w:numPr>
        <w:spacing w:before="100" w:beforeAutospacing="1" w:after="100" w:afterAutospacing="1" w:line="240" w:lineRule="auto"/>
        <w:ind w:hanging="357"/>
      </w:pPr>
      <w:r>
        <w:rPr>
          <w:rFonts w:ascii="Times New Roman" w:hAnsi="Times New Roman"/>
          <w:sz w:val="24"/>
          <w:szCs w:val="24"/>
        </w:rPr>
        <w:t>Сейтімов, Е.. Рефлексияға ақпарат. Менеджмент &amp; маркетинг бизнесте &amp; саясатта.- Алматы, 2007</w:t>
      </w:r>
    </w:p>
    <w:sectPr w:rsidR="00CF10B8" w:rsidSect="00CF10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37908"/>
    <w:multiLevelType w:val="hybridMultilevel"/>
    <w:tmpl w:val="07F47A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F54B55"/>
    <w:rsid w:val="00CF10B8"/>
    <w:rsid w:val="00F54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B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F54B55"/>
    <w:rPr>
      <w:rFonts w:ascii="Calibri" w:eastAsia="Calibri" w:hAnsi="Calibri" w:cs="Times New Roman"/>
    </w:rPr>
  </w:style>
  <w:style w:type="paragraph" w:styleId="a4">
    <w:name w:val="List Paragraph"/>
    <w:aliases w:val="без абзаца,маркированный,ПАРАГРАФ,List Paragraph"/>
    <w:basedOn w:val="a"/>
    <w:link w:val="a3"/>
    <w:uiPriority w:val="34"/>
    <w:qFormat/>
    <w:rsid w:val="00F54B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54B55"/>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F54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27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3910</Characters>
  <Application>Microsoft Office Word</Application>
  <DocSecurity>0</DocSecurity>
  <Lines>32</Lines>
  <Paragraphs>9</Paragraphs>
  <ScaleCrop>false</ScaleCrop>
  <Company>SPecialiST RePack</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2022-01-20T06:05:00Z</dcterms:created>
  <dcterms:modified xsi:type="dcterms:W3CDTF">2022-01-20T06:05:00Z</dcterms:modified>
</cp:coreProperties>
</file>